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4B2D3D">
      <w:pPr>
        <w:spacing w:line="360" w:lineRule="auto"/>
        <w:jc w:val="center"/>
        <w:rPr>
          <w:rFonts w:ascii="方正小标宋简体" w:hAnsi="方正小标宋简体" w:eastAsia="方正小标宋简体" w:cs="方正小标宋简体"/>
          <w:bCs/>
          <w:color w:val="000000"/>
          <w:sz w:val="48"/>
          <w:szCs w:val="48"/>
        </w:rPr>
      </w:pPr>
      <w:r>
        <w:rPr>
          <w:rFonts w:hint="eastAsia" w:ascii="仿宋" w:hAnsi="仿宋" w:eastAsia="仿宋" w:cs="仿宋"/>
          <w:b/>
          <w:color w:val="000000"/>
          <w:sz w:val="48"/>
          <w:szCs w:val="48"/>
        </w:rPr>
        <w:t>供应商响应报价单</w:t>
      </w:r>
    </w:p>
    <w:p w14:paraId="4C709289">
      <w:pPr>
        <w:spacing w:line="360" w:lineRule="auto"/>
        <w:rPr>
          <w:rFonts w:ascii="仿宋" w:hAnsi="仿宋" w:eastAsia="仿宋" w:cs="仿宋"/>
          <w:bCs/>
          <w:color w:val="000000"/>
          <w:sz w:val="24"/>
        </w:rPr>
      </w:pPr>
    </w:p>
    <w:p w14:paraId="78CD2758">
      <w:pPr>
        <w:spacing w:line="360" w:lineRule="auto"/>
        <w:ind w:left="1587" w:hanging="1587" w:hangingChars="496"/>
        <w:jc w:val="left"/>
        <w:rPr>
          <w:rFonts w:hint="eastAsia" w:ascii="仿宋" w:hAnsi="仿宋" w:eastAsia="仿宋" w:cs="仿宋"/>
          <w:bCs/>
          <w:color w:val="000000"/>
          <w:sz w:val="32"/>
          <w:szCs w:val="32"/>
          <w:lang w:val="en-US" w:eastAsia="zh-CN"/>
        </w:rPr>
      </w:pPr>
      <w:r>
        <w:rPr>
          <w:rFonts w:hint="eastAsia" w:ascii="仿宋" w:hAnsi="仿宋" w:eastAsia="仿宋" w:cs="仿宋"/>
          <w:bCs/>
          <w:color w:val="000000"/>
          <w:sz w:val="32"/>
          <w:szCs w:val="32"/>
        </w:rPr>
        <w:t>项目名称：</w:t>
      </w:r>
      <w:r>
        <w:rPr>
          <w:rFonts w:hint="eastAsia" w:ascii="仿宋" w:hAnsi="仿宋" w:eastAsia="仿宋" w:cs="仿宋"/>
          <w:bCs/>
          <w:color w:val="000000"/>
          <w:sz w:val="32"/>
          <w:szCs w:val="32"/>
          <w:lang w:eastAsia="zh-CN"/>
        </w:rPr>
        <w:t>汕头市储备粮食和物资有限公司公开征集承储360吨市级储备猪肉（生猪）服务供应商（</w:t>
      </w:r>
      <w:r>
        <w:rPr>
          <w:rFonts w:hint="eastAsia" w:ascii="仿宋" w:hAnsi="仿宋" w:eastAsia="仿宋" w:cs="仿宋"/>
          <w:bCs/>
          <w:color w:val="000000"/>
          <w:sz w:val="32"/>
          <w:szCs w:val="32"/>
          <w:lang w:val="en-US" w:eastAsia="zh-CN"/>
        </w:rPr>
        <w:t xml:space="preserve">标的  </w:t>
      </w:r>
      <w:r>
        <w:rPr>
          <w:rFonts w:hint="eastAsia" w:ascii="仿宋" w:hAnsi="仿宋" w:eastAsia="仿宋" w:cs="仿宋"/>
          <w:bCs/>
          <w:color w:val="000000"/>
          <w:sz w:val="32"/>
          <w:szCs w:val="32"/>
          <w:lang w:eastAsia="zh-CN"/>
        </w:rPr>
        <w:t>）</w:t>
      </w:r>
    </w:p>
    <w:p w14:paraId="4E147C09">
      <w:pPr>
        <w:spacing w:line="360" w:lineRule="auto"/>
        <w:ind w:left="1600" w:hanging="1600" w:hangingChars="500"/>
        <w:jc w:val="left"/>
        <w:rPr>
          <w:rFonts w:hint="default" w:ascii="仿宋" w:hAnsi="仿宋" w:eastAsia="仿宋" w:cs="仿宋"/>
          <w:bCs/>
          <w:color w:val="000000"/>
          <w:sz w:val="32"/>
          <w:szCs w:val="32"/>
          <w:lang w:val="en-US" w:eastAsia="zh-CN"/>
        </w:rPr>
      </w:pPr>
      <w:r>
        <w:rPr>
          <w:rFonts w:hint="eastAsia" w:ascii="仿宋" w:hAnsi="仿宋" w:eastAsia="仿宋" w:cs="仿宋"/>
          <w:bCs/>
          <w:color w:val="000000"/>
          <w:sz w:val="32"/>
          <w:szCs w:val="32"/>
        </w:rPr>
        <w:t>项目编号：</w:t>
      </w:r>
      <w:r>
        <w:rPr>
          <w:rFonts w:hint="eastAsia" w:ascii="仿宋" w:hAnsi="仿宋" w:eastAsia="仿宋" w:cs="仿宋"/>
          <w:bCs/>
          <w:color w:val="000000"/>
          <w:spacing w:val="40"/>
          <w:sz w:val="32"/>
          <w:szCs w:val="32"/>
        </w:rPr>
        <w:t>H</w:t>
      </w:r>
      <w:r>
        <w:rPr>
          <w:rFonts w:hint="eastAsia" w:ascii="仿宋" w:hAnsi="仿宋" w:eastAsia="仿宋" w:cs="仿宋"/>
          <w:bCs/>
          <w:color w:val="000000"/>
          <w:spacing w:val="40"/>
          <w:sz w:val="32"/>
          <w:szCs w:val="32"/>
          <w:u w:val="none"/>
        </w:rPr>
        <w:t>YSZS202</w:t>
      </w:r>
      <w:r>
        <w:rPr>
          <w:rFonts w:hint="eastAsia" w:ascii="仿宋" w:hAnsi="仿宋" w:eastAsia="仿宋" w:cs="仿宋"/>
          <w:bCs/>
          <w:color w:val="000000"/>
          <w:spacing w:val="40"/>
          <w:sz w:val="32"/>
          <w:szCs w:val="32"/>
          <w:u w:val="none"/>
          <w:lang w:val="en-US" w:eastAsia="zh-CN"/>
        </w:rPr>
        <w:t>6014</w:t>
      </w:r>
    </w:p>
    <w:p w14:paraId="471401C8">
      <w:pPr>
        <w:spacing w:line="360" w:lineRule="auto"/>
        <w:ind w:left="1680" w:hanging="1680" w:hangingChars="525"/>
        <w:rPr>
          <w:rFonts w:hint="eastAsia" w:ascii="仿宋" w:hAnsi="仿宋" w:eastAsia="仿宋" w:cs="仿宋"/>
          <w:bCs/>
          <w:color w:val="000000"/>
          <w:sz w:val="32"/>
          <w:szCs w:val="32"/>
          <w:lang w:eastAsia="zh-CN"/>
        </w:rPr>
      </w:pPr>
      <w:r>
        <w:rPr>
          <w:rFonts w:hint="eastAsia" w:ascii="仿宋" w:hAnsi="仿宋" w:eastAsia="仿宋" w:cs="仿宋"/>
          <w:bCs/>
          <w:color w:val="000000"/>
          <w:sz w:val="32"/>
          <w:szCs w:val="32"/>
          <w:lang w:val="en-US" w:eastAsia="zh-CN"/>
        </w:rPr>
        <w:t>项目</w:t>
      </w:r>
      <w:r>
        <w:rPr>
          <w:rFonts w:hint="eastAsia" w:ascii="仿宋" w:hAnsi="仿宋" w:eastAsia="仿宋" w:cs="仿宋"/>
          <w:bCs/>
          <w:color w:val="000000"/>
          <w:sz w:val="32"/>
          <w:szCs w:val="32"/>
        </w:rPr>
        <w:t>报价：</w:t>
      </w:r>
      <w:r>
        <w:rPr>
          <w:rFonts w:hint="eastAsia" w:ascii="仿宋" w:hAnsi="仿宋" w:eastAsia="仿宋" w:cs="仿宋"/>
          <w:bCs/>
          <w:color w:val="000000"/>
          <w:sz w:val="32"/>
          <w:szCs w:val="32"/>
          <w:lang w:val="en-US" w:eastAsia="zh-CN"/>
        </w:rPr>
        <w:t>下浮率</w:t>
      </w:r>
      <w:r>
        <w:rPr>
          <w:rFonts w:hint="eastAsia" w:ascii="仿宋" w:hAnsi="仿宋" w:eastAsia="仿宋" w:cs="仿宋"/>
          <w:bCs/>
          <w:color w:val="000000"/>
          <w:sz w:val="32"/>
          <w:szCs w:val="32"/>
          <w:u w:val="single"/>
          <w:lang w:val="en-US" w:eastAsia="zh-CN"/>
        </w:rPr>
        <w:t xml:space="preserve">   %</w:t>
      </w:r>
      <w:r>
        <w:rPr>
          <w:rFonts w:hint="eastAsia" w:ascii="仿宋" w:hAnsi="仿宋" w:eastAsia="仿宋" w:cs="仿宋"/>
          <w:bCs/>
          <w:color w:val="000000"/>
          <w:sz w:val="32"/>
          <w:szCs w:val="32"/>
        </w:rPr>
        <w:t>；</w:t>
      </w:r>
    </w:p>
    <w:p w14:paraId="4FD9DD03">
      <w:pPr>
        <w:spacing w:before="156" w:beforeLines="50" w:after="156" w:afterLines="50" w:line="360" w:lineRule="auto"/>
        <w:jc w:val="right"/>
        <w:rPr>
          <w:rFonts w:hint="eastAsia" w:ascii="仿宋" w:hAnsi="仿宋" w:eastAsia="仿宋" w:cs="仿宋"/>
          <w:bCs/>
          <w:color w:val="000000"/>
          <w:sz w:val="32"/>
          <w:szCs w:val="32"/>
        </w:rPr>
      </w:pPr>
    </w:p>
    <w:p w14:paraId="013F369D">
      <w:pPr>
        <w:wordWrap w:val="0"/>
        <w:spacing w:before="156" w:beforeLines="50" w:after="156" w:afterLines="50" w:line="360" w:lineRule="auto"/>
        <w:jc w:val="right"/>
        <w:rPr>
          <w:rFonts w:ascii="仿宋" w:hAnsi="仿宋" w:eastAsia="仿宋" w:cs="仿宋"/>
          <w:bCs/>
          <w:color w:val="000000"/>
          <w:sz w:val="32"/>
          <w:szCs w:val="32"/>
        </w:rPr>
      </w:pPr>
      <w:r>
        <w:rPr>
          <w:rFonts w:hint="eastAsia" w:ascii="仿宋" w:hAnsi="仿宋" w:eastAsia="仿宋" w:cs="仿宋"/>
          <w:bCs/>
          <w:color w:val="000000"/>
          <w:sz w:val="32"/>
          <w:szCs w:val="32"/>
        </w:rPr>
        <w:t xml:space="preserve">供应商（盖章）：                  </w:t>
      </w:r>
    </w:p>
    <w:p w14:paraId="719861A7">
      <w:pPr>
        <w:wordWrap w:val="0"/>
        <w:spacing w:before="156" w:beforeLines="50" w:after="156" w:afterLines="50" w:line="360" w:lineRule="auto"/>
        <w:jc w:val="right"/>
        <w:rPr>
          <w:rFonts w:ascii="仿宋" w:hAnsi="仿宋" w:eastAsia="仿宋" w:cs="仿宋"/>
          <w:bCs/>
          <w:color w:val="000000"/>
          <w:sz w:val="32"/>
          <w:szCs w:val="32"/>
        </w:rPr>
      </w:pPr>
      <w:r>
        <w:rPr>
          <w:rFonts w:hint="eastAsia" w:ascii="仿宋" w:hAnsi="仿宋" w:eastAsia="仿宋" w:cs="仿宋"/>
          <w:bCs/>
          <w:color w:val="000000"/>
          <w:sz w:val="32"/>
          <w:szCs w:val="32"/>
        </w:rPr>
        <w:t xml:space="preserve">法定代表人（授权代理人）签字：                  </w:t>
      </w:r>
    </w:p>
    <w:p w14:paraId="0688D6E4">
      <w:pPr>
        <w:wordWrap w:val="0"/>
        <w:spacing w:before="156" w:beforeLines="50" w:after="156" w:afterLines="50" w:line="360" w:lineRule="auto"/>
        <w:jc w:val="right"/>
        <w:rPr>
          <w:rFonts w:ascii="仿宋" w:hAnsi="仿宋" w:eastAsia="仿宋" w:cs="仿宋"/>
          <w:bCs/>
          <w:color w:val="000000"/>
          <w:sz w:val="32"/>
          <w:szCs w:val="32"/>
        </w:rPr>
      </w:pPr>
      <w:r>
        <w:rPr>
          <w:rFonts w:hint="eastAsia" w:ascii="仿宋" w:hAnsi="仿宋" w:eastAsia="仿宋" w:cs="仿宋"/>
          <w:bCs/>
          <w:color w:val="000000"/>
          <w:sz w:val="32"/>
          <w:szCs w:val="32"/>
        </w:rPr>
        <w:t>日期：202</w:t>
      </w:r>
      <w:r>
        <w:rPr>
          <w:rFonts w:hint="eastAsia" w:ascii="仿宋" w:hAnsi="仿宋" w:eastAsia="仿宋" w:cs="仿宋"/>
          <w:bCs/>
          <w:color w:val="000000"/>
          <w:sz w:val="32"/>
          <w:szCs w:val="32"/>
          <w:lang w:val="en-US" w:eastAsia="zh-CN"/>
        </w:rPr>
        <w:t>6</w:t>
      </w:r>
      <w:r>
        <w:rPr>
          <w:rFonts w:hint="eastAsia" w:ascii="仿宋" w:hAnsi="仿宋" w:eastAsia="仿宋" w:cs="仿宋"/>
          <w:bCs/>
          <w:color w:val="000000"/>
          <w:sz w:val="32"/>
          <w:szCs w:val="32"/>
        </w:rPr>
        <w:t>年</w:t>
      </w:r>
      <w:r>
        <w:rPr>
          <w:rFonts w:hint="eastAsia" w:ascii="仿宋" w:hAnsi="仿宋" w:eastAsia="仿宋" w:cs="仿宋"/>
          <w:bCs/>
          <w:color w:val="000000"/>
          <w:sz w:val="32"/>
          <w:szCs w:val="32"/>
          <w:u w:val="single"/>
          <w:lang w:val="en-US" w:eastAsia="zh-CN"/>
        </w:rPr>
        <w:t xml:space="preserve">   </w:t>
      </w:r>
      <w:r>
        <w:rPr>
          <w:rFonts w:hint="eastAsia" w:ascii="仿宋" w:hAnsi="仿宋" w:eastAsia="仿宋" w:cs="仿宋"/>
          <w:bCs/>
          <w:color w:val="000000"/>
          <w:sz w:val="32"/>
          <w:szCs w:val="32"/>
        </w:rPr>
        <w:t>月</w:t>
      </w:r>
      <w:r>
        <w:rPr>
          <w:rFonts w:hint="eastAsia" w:ascii="仿宋" w:hAnsi="仿宋" w:eastAsia="仿宋" w:cs="仿宋"/>
          <w:bCs/>
          <w:color w:val="000000"/>
          <w:sz w:val="32"/>
          <w:szCs w:val="32"/>
          <w:u w:val="single"/>
        </w:rPr>
        <w:t xml:space="preserve">   </w:t>
      </w:r>
      <w:r>
        <w:rPr>
          <w:rFonts w:hint="eastAsia" w:ascii="仿宋" w:hAnsi="仿宋" w:eastAsia="仿宋" w:cs="仿宋"/>
          <w:bCs/>
          <w:color w:val="000000"/>
          <w:sz w:val="32"/>
          <w:szCs w:val="32"/>
        </w:rPr>
        <w:t>日</w:t>
      </w:r>
    </w:p>
    <w:p w14:paraId="495BA033">
      <w:pPr>
        <w:keepNext w:val="0"/>
        <w:keepLines w:val="0"/>
        <w:pageBreakBefore w:val="0"/>
        <w:widowControl w:val="0"/>
        <w:kinsoku/>
        <w:wordWrap/>
        <w:overflowPunct/>
        <w:topLinePunct w:val="0"/>
        <w:autoSpaceDE/>
        <w:autoSpaceDN/>
        <w:bidi w:val="0"/>
        <w:adjustRightInd/>
        <w:snapToGrid/>
        <w:spacing w:line="360" w:lineRule="auto"/>
        <w:ind w:left="1421" w:hanging="1420" w:hangingChars="592"/>
        <w:jc w:val="left"/>
        <w:textAlignment w:val="auto"/>
        <w:rPr>
          <w:rFonts w:ascii="仿宋" w:hAnsi="仿宋" w:eastAsia="仿宋" w:cs="仿宋"/>
          <w:bCs/>
          <w:sz w:val="24"/>
          <w:szCs w:val="24"/>
        </w:rPr>
      </w:pPr>
      <w:r>
        <w:rPr>
          <w:rFonts w:hint="eastAsia" w:ascii="仿宋" w:hAnsi="仿宋" w:eastAsia="仿宋" w:cs="仿宋"/>
          <w:bCs/>
          <w:sz w:val="24"/>
          <w:szCs w:val="24"/>
        </w:rPr>
        <w:t>填写说明：</w:t>
      </w:r>
    </w:p>
    <w:p w14:paraId="7D4A309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bCs/>
          <w:sz w:val="24"/>
          <w:szCs w:val="24"/>
        </w:rPr>
      </w:pPr>
      <w:r>
        <w:rPr>
          <w:rFonts w:hint="eastAsia" w:ascii="仿宋" w:hAnsi="仿宋" w:eastAsia="仿宋" w:cs="仿宋"/>
          <w:bCs/>
          <w:kern w:val="2"/>
          <w:sz w:val="24"/>
          <w:szCs w:val="24"/>
          <w:lang w:val="en-US" w:eastAsia="zh-CN" w:bidi="ar-SA"/>
        </w:rPr>
        <w:t>1.</w:t>
      </w:r>
      <w:r>
        <w:rPr>
          <w:rFonts w:hint="eastAsia" w:ascii="仿宋" w:hAnsi="仿宋" w:eastAsia="仿宋" w:cs="仿宋"/>
          <w:bCs/>
          <w:sz w:val="24"/>
        </w:rPr>
        <w:t>本项目单个标的年度预算为1,095,150.00元，储备费用单价限价为6084.17元/吨•年，单个标的三年总预算为3,285,450.00元（含税）</w:t>
      </w:r>
      <w:r>
        <w:rPr>
          <w:rFonts w:hint="eastAsia" w:ascii="仿宋" w:hAnsi="仿宋" w:eastAsia="仿宋" w:cs="仿宋"/>
          <w:bCs/>
          <w:sz w:val="24"/>
          <w:szCs w:val="24"/>
          <w:lang w:eastAsia="zh-CN"/>
        </w:rPr>
        <w:t>。</w:t>
      </w:r>
      <w:r>
        <w:rPr>
          <w:rFonts w:hint="eastAsia" w:ascii="仿宋" w:hAnsi="仿宋" w:eastAsia="仿宋" w:cs="仿宋"/>
          <w:bCs/>
          <w:sz w:val="24"/>
          <w:szCs w:val="24"/>
          <w:lang w:val="en-US" w:eastAsia="zh-CN"/>
        </w:rPr>
        <w:t>响应</w:t>
      </w:r>
      <w:r>
        <w:rPr>
          <w:rFonts w:hint="eastAsia" w:ascii="仿宋" w:hAnsi="仿宋" w:eastAsia="仿宋" w:cs="仿宋"/>
          <w:bCs/>
          <w:sz w:val="24"/>
          <w:szCs w:val="24"/>
        </w:rPr>
        <w:t>报价采用投报“下浮率（%）”的方式，要求下浮率≧0，否则按无效</w:t>
      </w:r>
      <w:r>
        <w:rPr>
          <w:rFonts w:hint="eastAsia" w:ascii="仿宋" w:hAnsi="仿宋" w:eastAsia="仿宋" w:cs="仿宋"/>
          <w:bCs/>
          <w:sz w:val="24"/>
          <w:szCs w:val="24"/>
          <w:lang w:val="en-US" w:eastAsia="zh-CN"/>
        </w:rPr>
        <w:t>响应</w:t>
      </w:r>
      <w:r>
        <w:rPr>
          <w:rFonts w:hint="eastAsia" w:ascii="仿宋" w:hAnsi="仿宋" w:eastAsia="仿宋" w:cs="仿宋"/>
          <w:bCs/>
          <w:sz w:val="24"/>
          <w:szCs w:val="24"/>
        </w:rPr>
        <w:t>处理。每年储备费用</w:t>
      </w:r>
      <w:r>
        <w:rPr>
          <w:rFonts w:hint="eastAsia" w:ascii="仿宋" w:hAnsi="仿宋" w:eastAsia="仿宋" w:cs="仿宋"/>
          <w:bCs/>
          <w:sz w:val="24"/>
          <w:szCs w:val="24"/>
          <w:lang w:val="en-US" w:eastAsia="zh-CN"/>
        </w:rPr>
        <w:t>成交</w:t>
      </w:r>
      <w:r>
        <w:rPr>
          <w:rFonts w:hint="eastAsia" w:ascii="仿宋" w:hAnsi="仿宋" w:eastAsia="仿宋" w:cs="仿宋"/>
          <w:bCs/>
          <w:sz w:val="24"/>
          <w:szCs w:val="24"/>
        </w:rPr>
        <w:t>总价=年</w:t>
      </w:r>
      <w:r>
        <w:rPr>
          <w:rFonts w:hint="eastAsia" w:ascii="仿宋" w:hAnsi="仿宋" w:eastAsia="仿宋" w:cs="仿宋"/>
          <w:bCs/>
          <w:sz w:val="24"/>
          <w:szCs w:val="24"/>
          <w:lang w:val="en-US" w:eastAsia="zh-CN"/>
        </w:rPr>
        <w:t>生猪</w:t>
      </w:r>
      <w:r>
        <w:rPr>
          <w:rFonts w:hint="eastAsia" w:ascii="仿宋" w:hAnsi="仿宋" w:eastAsia="仿宋" w:cs="仿宋"/>
          <w:bCs/>
          <w:sz w:val="24"/>
          <w:szCs w:val="24"/>
        </w:rPr>
        <w:t>储备费用预算*（1-下浮率），</w:t>
      </w:r>
      <w:r>
        <w:rPr>
          <w:rFonts w:hint="eastAsia" w:ascii="仿宋" w:hAnsi="仿宋" w:eastAsia="仿宋" w:cs="仿宋"/>
          <w:bCs/>
          <w:sz w:val="24"/>
          <w:szCs w:val="24"/>
          <w:lang w:val="en-US" w:eastAsia="zh-CN"/>
        </w:rPr>
        <w:t>成交</w:t>
      </w:r>
      <w:r>
        <w:rPr>
          <w:rFonts w:hint="eastAsia" w:ascii="仿宋" w:hAnsi="仿宋" w:eastAsia="仿宋" w:cs="仿宋"/>
          <w:bCs/>
          <w:sz w:val="24"/>
          <w:szCs w:val="24"/>
        </w:rPr>
        <w:t>储备费用单价=储备费用单价限价*（1-下浮率）。</w:t>
      </w:r>
    </w:p>
    <w:p w14:paraId="58529C8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特别说明：3年储备期内，储备费用以本次</w:t>
      </w:r>
      <w:r>
        <w:rPr>
          <w:rFonts w:hint="eastAsia" w:ascii="仿宋" w:hAnsi="仿宋" w:eastAsia="仿宋" w:cs="仿宋"/>
          <w:bCs/>
          <w:sz w:val="24"/>
          <w:szCs w:val="24"/>
          <w:lang w:val="en-US" w:eastAsia="zh-CN"/>
        </w:rPr>
        <w:t>成交</w:t>
      </w:r>
      <w:r>
        <w:rPr>
          <w:rFonts w:hint="eastAsia" w:ascii="仿宋" w:hAnsi="仿宋" w:eastAsia="仿宋" w:cs="仿宋"/>
          <w:bCs/>
          <w:sz w:val="24"/>
          <w:szCs w:val="24"/>
        </w:rPr>
        <w:t>价为准保持固定不变。</w:t>
      </w:r>
    </w:p>
    <w:p w14:paraId="5BA00B2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2.本项目市级储备</w:t>
      </w:r>
      <w:bookmarkStart w:id="0" w:name="_GoBack"/>
      <w:bookmarkEnd w:id="0"/>
      <w:r>
        <w:rPr>
          <w:rFonts w:hint="eastAsia" w:ascii="仿宋" w:hAnsi="仿宋" w:eastAsia="仿宋" w:cs="仿宋"/>
          <w:bCs/>
          <w:sz w:val="24"/>
          <w:szCs w:val="24"/>
          <w:lang w:eastAsia="zh-CN"/>
        </w:rPr>
        <w:t>生猪</w:t>
      </w:r>
      <w:r>
        <w:rPr>
          <w:rFonts w:hint="eastAsia" w:ascii="仿宋" w:hAnsi="仿宋" w:eastAsia="仿宋" w:cs="仿宋"/>
          <w:bCs/>
          <w:sz w:val="24"/>
          <w:szCs w:val="24"/>
        </w:rPr>
        <w:t>按照费用定额包干原则，采取由</w:t>
      </w:r>
      <w:r>
        <w:rPr>
          <w:rFonts w:hint="eastAsia" w:ascii="仿宋" w:hAnsi="仿宋" w:eastAsia="仿宋" w:cs="仿宋"/>
          <w:bCs/>
          <w:sz w:val="24"/>
          <w:szCs w:val="24"/>
          <w:lang w:val="en-US" w:eastAsia="zh-CN"/>
        </w:rPr>
        <w:t>供应商</w:t>
      </w:r>
      <w:r>
        <w:rPr>
          <w:rFonts w:hint="eastAsia" w:ascii="仿宋" w:hAnsi="仿宋" w:eastAsia="仿宋" w:cs="仿宋"/>
          <w:bCs/>
          <w:sz w:val="24"/>
          <w:szCs w:val="24"/>
        </w:rPr>
        <w:t>自筹资金、保质保量、自主轮换，政府补贴费用的形式运作，</w:t>
      </w:r>
      <w:r>
        <w:rPr>
          <w:rFonts w:hint="eastAsia" w:ascii="仿宋" w:hAnsi="仿宋" w:eastAsia="仿宋" w:cs="仿宋"/>
          <w:bCs/>
          <w:sz w:val="24"/>
          <w:szCs w:val="24"/>
          <w:lang w:val="en-US" w:eastAsia="zh-CN"/>
        </w:rPr>
        <w:t>意向供应商</w:t>
      </w:r>
      <w:r>
        <w:rPr>
          <w:rFonts w:hint="eastAsia" w:ascii="仿宋" w:hAnsi="仿宋" w:eastAsia="仿宋" w:cs="仿宋"/>
          <w:bCs/>
          <w:sz w:val="24"/>
          <w:szCs w:val="24"/>
        </w:rPr>
        <w:t>自行考虑并承担</w:t>
      </w:r>
      <w:r>
        <w:rPr>
          <w:rFonts w:hint="eastAsia" w:ascii="仿宋" w:hAnsi="仿宋" w:eastAsia="仿宋" w:cs="仿宋"/>
          <w:bCs/>
          <w:sz w:val="24"/>
          <w:szCs w:val="24"/>
          <w:lang w:eastAsia="zh-CN"/>
        </w:rPr>
        <w:t>生猪</w:t>
      </w:r>
      <w:r>
        <w:rPr>
          <w:rFonts w:hint="eastAsia" w:ascii="仿宋" w:hAnsi="仿宋" w:eastAsia="仿宋" w:cs="仿宋"/>
          <w:bCs/>
          <w:sz w:val="24"/>
          <w:szCs w:val="24"/>
        </w:rPr>
        <w:t>市场价格波动带来的风险。</w:t>
      </w:r>
    </w:p>
    <w:p w14:paraId="4D62C6B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仿宋" w:hAnsi="仿宋" w:eastAsia="仿宋" w:cs="仿宋"/>
          <w:bCs/>
          <w:sz w:val="24"/>
          <w:szCs w:val="24"/>
        </w:rPr>
      </w:pPr>
      <w:r>
        <w:rPr>
          <w:rFonts w:hint="eastAsia" w:ascii="仿宋" w:hAnsi="仿宋" w:eastAsia="仿宋" w:cs="仿宋"/>
          <w:bCs/>
          <w:sz w:val="24"/>
          <w:szCs w:val="24"/>
        </w:rPr>
        <w:t>3评审小组认为意向供应商的报价明显低于其他通过形式审查意向供应商的报价，有可能影响服务质量或者不能诚信履约的，将要求其在评审现场合理的时间内（具体时限由评审小组决定）提供书面说明，必要时提交相关证明材料；意向供应商不能证明其报价合理性的，评审小组将其作为无效报价处理。</w:t>
      </w:r>
    </w:p>
    <w:p w14:paraId="321DC41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仿宋" w:hAnsi="仿宋" w:eastAsia="仿宋" w:cs="仿宋"/>
          <w:bCs/>
          <w:sz w:val="24"/>
          <w:szCs w:val="24"/>
        </w:rPr>
      </w:pPr>
      <w:r>
        <w:rPr>
          <w:rFonts w:hint="eastAsia" w:ascii="仿宋" w:hAnsi="仿宋" w:eastAsia="仿宋" w:cs="仿宋"/>
          <w:bCs/>
          <w:sz w:val="24"/>
          <w:szCs w:val="24"/>
        </w:rPr>
        <w:t>4.本报价单格式不得更改。</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2880902-ADB5-4AA1-B131-FC5B063638DE}"/>
  </w:font>
  <w:font w:name="Arial">
    <w:panose1 w:val="020B0604020202020204"/>
    <w:charset w:val="01"/>
    <w:family w:val="swiss"/>
    <w:pitch w:val="default"/>
    <w:sig w:usb0="E0002EFF" w:usb1="C000785B" w:usb2="00000009" w:usb3="00000000" w:csb0="400001FF" w:csb1="FFFF0000"/>
    <w:embedRegular r:id="rId2" w:fontKey="{5D042AA4-DA8A-4C3D-AF52-98A17D961FE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3072B11C-7000-4B72-B792-A43B525046D8}"/>
  </w:font>
  <w:font w:name="Symbol">
    <w:panose1 w:val="05050102010706020507"/>
    <w:charset w:val="02"/>
    <w:family w:val="roman"/>
    <w:pitch w:val="default"/>
    <w:sig w:usb0="00000000" w:usb1="00000000" w:usb2="00000000" w:usb3="00000000" w:csb0="80000000" w:csb1="00000000"/>
    <w:embedRegular r:id="rId4" w:fontKey="{513CD0BB-5868-4600-80B3-7572EE16DFF3}"/>
  </w:font>
  <w:font w:name="Calibri">
    <w:panose1 w:val="020F0502020204030204"/>
    <w:charset w:val="00"/>
    <w:family w:val="swiss"/>
    <w:pitch w:val="default"/>
    <w:sig w:usb0="E4002EFF" w:usb1="C000247B" w:usb2="00000009" w:usb3="00000000" w:csb0="200001FF" w:csb1="00000000"/>
    <w:embedRegular r:id="rId5" w:fontKey="{B079EDF0-41F5-46A6-A087-24C60C2B892B}"/>
  </w:font>
  <w:font w:name="方正小标宋简体">
    <w:panose1 w:val="02000000000000000000"/>
    <w:charset w:val="86"/>
    <w:family w:val="auto"/>
    <w:pitch w:val="default"/>
    <w:sig w:usb0="00000001" w:usb1="08000000" w:usb2="00000000" w:usb3="00000000" w:csb0="00040000" w:csb1="00000000"/>
    <w:embedRegular r:id="rId6" w:fontKey="{DCEEF675-678E-4ECD-9D87-0B31BDE6F3FE}"/>
  </w:font>
  <w:font w:name="仿宋">
    <w:panose1 w:val="02010609060101010101"/>
    <w:charset w:val="86"/>
    <w:family w:val="modern"/>
    <w:pitch w:val="default"/>
    <w:sig w:usb0="800002BF" w:usb1="38CF7CFA" w:usb2="00000016" w:usb3="00000000" w:csb0="00040001" w:csb1="00000000"/>
    <w:embedRegular r:id="rId7" w:fontKey="{68559057-8547-4142-B681-66EDE38501D2}"/>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FiYTIzYTFjMDBlOWYwNThiNTNmOTQxOWE5MTY4YmYifQ=="/>
    <w:docVar w:name="KSO_WPS_MARK_KEY" w:val="0df8459d-d06d-44f2-82ae-18f9c1028137"/>
  </w:docVars>
  <w:rsids>
    <w:rsidRoot w:val="155D647B"/>
    <w:rsid w:val="00364EDE"/>
    <w:rsid w:val="003C3C7D"/>
    <w:rsid w:val="004E1340"/>
    <w:rsid w:val="00692E6E"/>
    <w:rsid w:val="007071E4"/>
    <w:rsid w:val="009050D6"/>
    <w:rsid w:val="00B57B55"/>
    <w:rsid w:val="00CB08D5"/>
    <w:rsid w:val="00E31CA8"/>
    <w:rsid w:val="00FF7E89"/>
    <w:rsid w:val="021A36B5"/>
    <w:rsid w:val="03093A7F"/>
    <w:rsid w:val="03AC6F03"/>
    <w:rsid w:val="05927FFE"/>
    <w:rsid w:val="09A74B46"/>
    <w:rsid w:val="09CB1681"/>
    <w:rsid w:val="0AB93F4A"/>
    <w:rsid w:val="0C3576AF"/>
    <w:rsid w:val="0CC46135"/>
    <w:rsid w:val="10AD4283"/>
    <w:rsid w:val="114D4FC9"/>
    <w:rsid w:val="12AA2355"/>
    <w:rsid w:val="135F32C7"/>
    <w:rsid w:val="15316332"/>
    <w:rsid w:val="155D647B"/>
    <w:rsid w:val="15CD3C4C"/>
    <w:rsid w:val="181C1A98"/>
    <w:rsid w:val="187F0EBB"/>
    <w:rsid w:val="19B35A05"/>
    <w:rsid w:val="1A28474F"/>
    <w:rsid w:val="1AEA658A"/>
    <w:rsid w:val="1F4640CB"/>
    <w:rsid w:val="20C2334D"/>
    <w:rsid w:val="219105A9"/>
    <w:rsid w:val="21FE43C3"/>
    <w:rsid w:val="22321E5A"/>
    <w:rsid w:val="23B8312D"/>
    <w:rsid w:val="247D50E9"/>
    <w:rsid w:val="25EF3464"/>
    <w:rsid w:val="25FF2DD9"/>
    <w:rsid w:val="27222A45"/>
    <w:rsid w:val="29A537EE"/>
    <w:rsid w:val="2B236893"/>
    <w:rsid w:val="2CC96C26"/>
    <w:rsid w:val="2CFA57E4"/>
    <w:rsid w:val="2D05339F"/>
    <w:rsid w:val="2D475E7D"/>
    <w:rsid w:val="2E250A15"/>
    <w:rsid w:val="31B5579D"/>
    <w:rsid w:val="31D42EA3"/>
    <w:rsid w:val="33331563"/>
    <w:rsid w:val="3529529B"/>
    <w:rsid w:val="358547A7"/>
    <w:rsid w:val="369F3FB3"/>
    <w:rsid w:val="38875500"/>
    <w:rsid w:val="3AB53FD1"/>
    <w:rsid w:val="3CDD294C"/>
    <w:rsid w:val="3D2F63A3"/>
    <w:rsid w:val="3FFB6676"/>
    <w:rsid w:val="451804A4"/>
    <w:rsid w:val="467057C2"/>
    <w:rsid w:val="491114BE"/>
    <w:rsid w:val="4B384F7D"/>
    <w:rsid w:val="4C6F0DD7"/>
    <w:rsid w:val="4D72375A"/>
    <w:rsid w:val="4EC550A8"/>
    <w:rsid w:val="4F99240A"/>
    <w:rsid w:val="4FC1784C"/>
    <w:rsid w:val="539F3169"/>
    <w:rsid w:val="57D4219A"/>
    <w:rsid w:val="5F215A16"/>
    <w:rsid w:val="610E74EE"/>
    <w:rsid w:val="63755CFA"/>
    <w:rsid w:val="63C26C23"/>
    <w:rsid w:val="650E5F4D"/>
    <w:rsid w:val="668F171F"/>
    <w:rsid w:val="67A13F36"/>
    <w:rsid w:val="6A785BC6"/>
    <w:rsid w:val="6D6C7D87"/>
    <w:rsid w:val="72B43C99"/>
    <w:rsid w:val="742C051B"/>
    <w:rsid w:val="749E2612"/>
    <w:rsid w:val="75762485"/>
    <w:rsid w:val="775449B8"/>
    <w:rsid w:val="78846D52"/>
    <w:rsid w:val="78FC3499"/>
    <w:rsid w:val="7B66718A"/>
    <w:rsid w:val="7BB21B83"/>
    <w:rsid w:val="7C1B1D66"/>
    <w:rsid w:val="7D403A22"/>
    <w:rsid w:val="7DEB32D1"/>
    <w:rsid w:val="7F4F5EB6"/>
    <w:rsid w:val="7FEE5E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autoRedefine/>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autoRedefine/>
    <w:qFormat/>
    <w:uiPriority w:val="0"/>
    <w:pPr>
      <w:jc w:val="left"/>
    </w:pPr>
  </w:style>
  <w:style w:type="paragraph" w:styleId="3">
    <w:name w:val="footer"/>
    <w:basedOn w:val="1"/>
    <w:link w:val="8"/>
    <w:autoRedefine/>
    <w:qFormat/>
    <w:uiPriority w:val="0"/>
    <w:pPr>
      <w:tabs>
        <w:tab w:val="center" w:pos="4153"/>
        <w:tab w:val="right" w:pos="8306"/>
      </w:tabs>
      <w:snapToGrid w:val="0"/>
      <w:jc w:val="left"/>
    </w:pPr>
    <w:rPr>
      <w:sz w:val="18"/>
      <w:szCs w:val="18"/>
    </w:rPr>
  </w:style>
  <w:style w:type="paragraph" w:styleId="4">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字符"/>
    <w:basedOn w:val="6"/>
    <w:link w:val="4"/>
    <w:qFormat/>
    <w:uiPriority w:val="0"/>
    <w:rPr>
      <w:rFonts w:ascii="Calibri" w:hAnsi="Calibri" w:eastAsia="宋体" w:cs="Times New Roman"/>
      <w:kern w:val="2"/>
      <w:sz w:val="18"/>
      <w:szCs w:val="18"/>
    </w:rPr>
  </w:style>
  <w:style w:type="character" w:customStyle="1" w:styleId="8">
    <w:name w:val="页脚 字符"/>
    <w:basedOn w:val="6"/>
    <w:link w:val="3"/>
    <w:autoRedefine/>
    <w:qFormat/>
    <w:uiPriority w:val="0"/>
    <w:rPr>
      <w:rFonts w:ascii="Calibri" w:hAnsi="Calibri" w:eastAsia="宋体" w:cs="Times New Roman"/>
      <w:kern w:val="2"/>
      <w:sz w:val="18"/>
      <w:szCs w:val="18"/>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504</Words>
  <Characters>552</Characters>
  <Lines>4</Lines>
  <Paragraphs>1</Paragraphs>
  <TotalTime>9</TotalTime>
  <ScaleCrop>false</ScaleCrop>
  <LinksUpToDate>false</LinksUpToDate>
  <CharactersWithSpaces>600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2021-12-22T03:09:00Z</dcterms:created>
  <dc:creator>郑宥谦</dc:creator>
  <cp:lastModifiedBy>王子嘉</cp:lastModifiedBy>
  <cp:lastPrinted>2024-01-19T07:28:00Z</cp:lastPrinted>
  <dcterms:modified xsi:type="dcterms:W3CDTF">2026-03-09T15:19:09Z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B99CEAF62CD742F29C759F14D07D0688</vt:lpwstr>
  </property>
  <property fmtid="{D5CDD505-2E9C-101B-9397-08002B2CF9AE}" pid="4" name="KSOSaveFontToCloudKey">
    <vt:lpwstr>521199773_embed</vt:lpwstr>
  </property>
  <property fmtid="{D5CDD505-2E9C-101B-9397-08002B2CF9AE}" pid="5" name="KSOTemplateDocerSaveRecord">
    <vt:lpwstr>eyJoZGlkIjoiMDRlZDJjMDE3YzU2NWNiOWUwNTk1YzZlYmFhYjNjY2MiLCJ1c2VySWQiOiIxNDYyNzg4NzM0In0=</vt:lpwstr>
  </property>
</Properties>
</file>